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BEDDB" w14:textId="03022528" w:rsidR="00E27F0B" w:rsidRPr="0055690A" w:rsidRDefault="00E27F0B" w:rsidP="00E27F0B">
      <w:pPr>
        <w:pStyle w:val="CRCoverPage"/>
        <w:tabs>
          <w:tab w:val="right" w:pos="9639"/>
        </w:tabs>
        <w:outlineLvl w:val="0"/>
        <w:rPr>
          <w:b/>
          <w:noProof/>
          <w:sz w:val="24"/>
        </w:rPr>
      </w:pPr>
      <w:r w:rsidRPr="00911A38">
        <w:rPr>
          <w:b/>
          <w:noProof/>
          <w:sz w:val="24"/>
        </w:rPr>
        <w:t>3GPP TSG-RAN WG3 #10</w:t>
      </w:r>
      <w:r>
        <w:rPr>
          <w:b/>
          <w:noProof/>
          <w:sz w:val="24"/>
        </w:rPr>
        <w:t>2</w:t>
      </w:r>
      <w:r w:rsidRPr="00911A38">
        <w:rPr>
          <w:b/>
          <w:noProof/>
          <w:sz w:val="24"/>
        </w:rPr>
        <w:tab/>
        <w:t>Tdoc R3-18</w:t>
      </w:r>
      <w:r w:rsidR="00357D28">
        <w:rPr>
          <w:b/>
          <w:noProof/>
          <w:sz w:val="24"/>
        </w:rPr>
        <w:t>6846</w:t>
      </w:r>
    </w:p>
    <w:p w14:paraId="484087CF" w14:textId="172C2848" w:rsidR="00890293" w:rsidRDefault="00E27F0B" w:rsidP="00E27F0B">
      <w:pPr>
        <w:pStyle w:val="3GPPHeader"/>
        <w:rPr>
          <w:noProof/>
        </w:rPr>
      </w:pPr>
      <w:r w:rsidRPr="00E27F0B">
        <w:rPr>
          <w:noProof/>
        </w:rPr>
        <w:t>Spokane, USA, 12th – 16th November</w:t>
      </w:r>
    </w:p>
    <w:p w14:paraId="1411FD9E" w14:textId="77777777" w:rsidR="00E27F0B" w:rsidRPr="00E27F0B" w:rsidRDefault="00E27F0B" w:rsidP="00E27F0B">
      <w:pPr>
        <w:pStyle w:val="3GPPHeader"/>
        <w:rPr>
          <w:sz w:val="22"/>
          <w:szCs w:val="22"/>
          <w:lang w:val="en-US"/>
        </w:rPr>
      </w:pPr>
    </w:p>
    <w:p w14:paraId="4A4F422A" w14:textId="28C66AA5"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A37B7" w:rsidRPr="000B252B">
        <w:rPr>
          <w:sz w:val="22"/>
          <w:szCs w:val="22"/>
          <w:lang w:val="en-US"/>
        </w:rPr>
        <w:t>31.3.</w:t>
      </w:r>
      <w:r w:rsidR="00E61AE4">
        <w:rPr>
          <w:sz w:val="22"/>
          <w:szCs w:val="22"/>
          <w:lang w:val="en-US"/>
        </w:rPr>
        <w:t>1</w:t>
      </w:r>
      <w:r w:rsidR="00407B72" w:rsidRPr="000B252B">
        <w:rPr>
          <w:sz w:val="22"/>
          <w:szCs w:val="22"/>
          <w:lang w:val="en-US"/>
        </w:rPr>
        <w:t>.</w:t>
      </w:r>
      <w:r w:rsidR="00E61AE4">
        <w:rPr>
          <w:sz w:val="22"/>
          <w:szCs w:val="22"/>
          <w:lang w:val="en-US"/>
        </w:rPr>
        <w:t>31</w:t>
      </w:r>
    </w:p>
    <w:p w14:paraId="5DAA27F0" w14:textId="737398F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772B7A">
        <w:rPr>
          <w:sz w:val="22"/>
          <w:szCs w:val="22"/>
        </w:rPr>
        <w:t>, Vodafone</w:t>
      </w:r>
    </w:p>
    <w:p w14:paraId="79F02B71" w14:textId="5C18367F"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202F77" w:rsidRPr="00202F77">
        <w:rPr>
          <w:sz w:val="22"/>
          <w:szCs w:val="22"/>
        </w:rPr>
        <w:t>Support of keeping the DL UP termination point on the RAN-CN interface</w:t>
      </w:r>
      <w:r w:rsidR="00890293">
        <w:rPr>
          <w:sz w:val="22"/>
          <w:szCs w:val="22"/>
        </w:rPr>
        <w:t xml:space="preserve"> </w:t>
      </w:r>
      <w:r w:rsidR="00202F77" w:rsidRPr="00202F77">
        <w:rPr>
          <w:sz w:val="22"/>
          <w:szCs w:val="22"/>
        </w:rPr>
        <w:t xml:space="preserve">– HO </w:t>
      </w:r>
      <w:r w:rsidR="00202F77">
        <w:rPr>
          <w:sz w:val="22"/>
          <w:szCs w:val="22"/>
        </w:rPr>
        <w:t xml:space="preserve">and DC </w:t>
      </w:r>
      <w:r w:rsidR="00202F77" w:rsidRPr="00202F77">
        <w:rPr>
          <w:sz w:val="22"/>
          <w:szCs w:val="22"/>
        </w:rPr>
        <w:t xml:space="preserve">aspects </w:t>
      </w:r>
    </w:p>
    <w:p w14:paraId="7E783B99" w14:textId="1B04EF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1DA7C275" w14:textId="373ACBC6" w:rsidR="00890293" w:rsidRDefault="00EA5E48" w:rsidP="00EA5E48">
      <w:r>
        <w:t xml:space="preserve">RAN3 has </w:t>
      </w:r>
      <w:r w:rsidR="00890293">
        <w:t xml:space="preserve">been discussing for a </w:t>
      </w:r>
      <w:r>
        <w:t xml:space="preserve">few </w:t>
      </w:r>
      <w:r w:rsidR="00890293">
        <w:t xml:space="preserve">meetings the concept of supporting deployments which allow to keep the DL UP termination point on the RAN-CN interface when the logical ownership of the RAN side </w:t>
      </w:r>
      <w:r>
        <w:t xml:space="preserve">of the </w:t>
      </w:r>
      <w:r w:rsidR="00006895">
        <w:t>S1-U/</w:t>
      </w:r>
      <w:r w:rsidR="00890293">
        <w:t>NG-U termination/SDAP/PDCP entity changes from one (source/old) logical node to another (target/</w:t>
      </w:r>
      <w:r>
        <w:t>new</w:t>
      </w:r>
      <w:r w:rsidR="00890293">
        <w:t>) logical node. We believe this is beneficial both for handover cases and for DC. In the contributions R3-185045 and R3-185047 we provide the detailed analysis of this concept. In this contribution, we provide a summary of our analysis and conclusions</w:t>
      </w:r>
      <w:r>
        <w:t>,</w:t>
      </w:r>
      <w:r w:rsidR="00890293">
        <w:t xml:space="preserve"> as</w:t>
      </w:r>
      <w:r>
        <w:t xml:space="preserve"> an</w:t>
      </w:r>
      <w:r w:rsidR="00890293">
        <w:t xml:space="preserve"> in introduction </w:t>
      </w:r>
      <w:r>
        <w:t xml:space="preserve">to </w:t>
      </w:r>
      <w:r w:rsidR="00890293">
        <w:t>the corresponding CRs.</w:t>
      </w:r>
    </w:p>
    <w:p w14:paraId="217E4F33" w14:textId="65C30AD0" w:rsidR="00407B72" w:rsidRDefault="00407B72" w:rsidP="00407B72">
      <w:pPr>
        <w:pStyle w:val="Heading1"/>
      </w:pPr>
      <w:r>
        <w:t>Discussion</w:t>
      </w:r>
    </w:p>
    <w:p w14:paraId="31136D09" w14:textId="1434D486" w:rsidR="004C37A1" w:rsidRDefault="00EA5E48" w:rsidP="00EA5E48">
      <w:pPr>
        <w:spacing w:after="240"/>
      </w:pPr>
      <w:r>
        <w:t>The scenario under consideration is depicted in Figure 1.</w:t>
      </w:r>
    </w:p>
    <w:p w14:paraId="51737687" w14:textId="77777777" w:rsidR="00EA5E48" w:rsidRPr="00EA5E48" w:rsidRDefault="00EA5E48" w:rsidP="00EA5E48">
      <w:pPr>
        <w:spacing w:after="60"/>
        <w:jc w:val="center"/>
        <w:rPr>
          <w:sz w:val="18"/>
          <w:lang w:val="en-US"/>
        </w:rPr>
      </w:pPr>
      <w:r w:rsidRPr="00EA5E48">
        <w:rPr>
          <w:noProof/>
          <w:sz w:val="18"/>
        </w:rPr>
        <w:drawing>
          <wp:inline distT="0" distB="0" distL="0" distR="0" wp14:anchorId="1B947268" wp14:editId="28F5AE17">
            <wp:extent cx="3275458" cy="2340000"/>
            <wp:effectExtent l="0" t="0" r="0" b="3175"/>
            <wp:docPr id="174" name="Picture 173">
              <a:extLst xmlns:a="http://schemas.openxmlformats.org/drawingml/2006/main">
                <a:ext uri="{FF2B5EF4-FFF2-40B4-BE49-F238E27FC236}">
                  <a16:creationId xmlns:a16="http://schemas.microsoft.com/office/drawing/2014/main" id="{47FCA501-80BC-4B59-B533-00CB199AF3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Picture 173">
                      <a:extLst>
                        <a:ext uri="{FF2B5EF4-FFF2-40B4-BE49-F238E27FC236}">
                          <a16:creationId xmlns:a16="http://schemas.microsoft.com/office/drawing/2014/main" id="{47FCA501-80BC-4B59-B533-00CB199AF36D}"/>
                        </a:ext>
                      </a:extLst>
                    </pic:cNvPr>
                    <pic:cNvPicPr>
                      <a:picLocks noChangeAspect="1"/>
                    </pic:cNvPicPr>
                  </pic:nvPicPr>
                  <pic:blipFill>
                    <a:blip r:embed="rId13"/>
                    <a:stretch>
                      <a:fillRect/>
                    </a:stretch>
                  </pic:blipFill>
                  <pic:spPr>
                    <a:xfrm>
                      <a:off x="0" y="0"/>
                      <a:ext cx="3275458" cy="2340000"/>
                    </a:xfrm>
                    <a:prstGeom prst="rect">
                      <a:avLst/>
                    </a:prstGeom>
                  </pic:spPr>
                </pic:pic>
              </a:graphicData>
            </a:graphic>
          </wp:inline>
        </w:drawing>
      </w:r>
    </w:p>
    <w:p w14:paraId="5596F727" w14:textId="300371F9" w:rsidR="00EA5E48" w:rsidRPr="00EA5E48" w:rsidRDefault="00EA5E48" w:rsidP="00EA5E48">
      <w:pPr>
        <w:spacing w:before="60" w:after="240"/>
        <w:jc w:val="center"/>
        <w:rPr>
          <w:b/>
          <w:color w:val="262626" w:themeColor="text1" w:themeTint="D9"/>
          <w:sz w:val="18"/>
          <w:lang w:val="en-US"/>
        </w:rPr>
      </w:pPr>
      <w:r w:rsidRPr="00EA5E48">
        <w:rPr>
          <w:b/>
          <w:color w:val="262626" w:themeColor="text1" w:themeTint="D9"/>
          <w:sz w:val="18"/>
          <w:lang w:val="en-US"/>
        </w:rPr>
        <w:t>Figure 1: Deployment with central UP entity. Green boxes represent physical entities. Three logical RAN nodes (</w:t>
      </w:r>
      <w:proofErr w:type="spellStart"/>
      <w:r w:rsidRPr="00EA5E48">
        <w:rPr>
          <w:b/>
          <w:color w:val="262626" w:themeColor="text1" w:themeTint="D9"/>
          <w:sz w:val="18"/>
          <w:lang w:val="en-US"/>
        </w:rPr>
        <w:t>gNBs</w:t>
      </w:r>
      <w:proofErr w:type="spellEnd"/>
      <w:r w:rsidRPr="00EA5E48">
        <w:rPr>
          <w:b/>
          <w:color w:val="262626" w:themeColor="text1" w:themeTint="D9"/>
          <w:sz w:val="18"/>
          <w:lang w:val="en-US"/>
        </w:rPr>
        <w:t>) are identified by different colors: orange, grey and blue.</w:t>
      </w:r>
    </w:p>
    <w:p w14:paraId="2E6130E5" w14:textId="77777777" w:rsidR="00EA5E48" w:rsidRDefault="00EA5E48" w:rsidP="00EA5E48">
      <w:pPr>
        <w:pStyle w:val="TOC1"/>
        <w:spacing w:after="120"/>
        <w:ind w:left="0" w:firstLine="0"/>
        <w:jc w:val="both"/>
        <w:rPr>
          <w:b w:val="0"/>
          <w:noProof w:val="0"/>
          <w:lang w:val="en-GB"/>
        </w:rPr>
      </w:pPr>
      <w:r>
        <w:rPr>
          <w:b w:val="0"/>
          <w:noProof w:val="0"/>
          <w:lang w:val="en-GB"/>
        </w:rPr>
        <w:t xml:space="preserve">In the scenario depicted in Figure 1 it is possible to perform a handover where the source and the target logical UP entities are within the same physical central UP entity. This offers the possibility of optimizing the inter-node handover procedure by:  </w:t>
      </w:r>
    </w:p>
    <w:p w14:paraId="619D8573" w14:textId="77777777" w:rsidR="00EA5E48" w:rsidRDefault="00EA5E48" w:rsidP="00EA5E48">
      <w:pPr>
        <w:pStyle w:val="TOC1"/>
        <w:numPr>
          <w:ilvl w:val="0"/>
          <w:numId w:val="11"/>
        </w:numPr>
        <w:spacing w:after="120"/>
        <w:jc w:val="both"/>
        <w:rPr>
          <w:b w:val="0"/>
          <w:noProof w:val="0"/>
          <w:lang w:val="en-GB"/>
        </w:rPr>
      </w:pPr>
      <w:r>
        <w:rPr>
          <w:b w:val="0"/>
          <w:noProof w:val="0"/>
          <w:lang w:val="en-GB"/>
        </w:rPr>
        <w:t>avoiding the need for changing the NG-U tunnel toward the core network;</w:t>
      </w:r>
    </w:p>
    <w:p w14:paraId="731578D2" w14:textId="77777777" w:rsidR="00EA5E48" w:rsidRDefault="00EA5E48" w:rsidP="00EA5E48">
      <w:pPr>
        <w:pStyle w:val="TOC1"/>
        <w:numPr>
          <w:ilvl w:val="0"/>
          <w:numId w:val="11"/>
        </w:numPr>
        <w:spacing w:after="120"/>
        <w:jc w:val="both"/>
        <w:rPr>
          <w:b w:val="0"/>
          <w:noProof w:val="0"/>
          <w:lang w:val="en-GB"/>
        </w:rPr>
      </w:pPr>
      <w:r>
        <w:rPr>
          <w:b w:val="0"/>
          <w:noProof w:val="0"/>
          <w:lang w:val="en-GB"/>
        </w:rPr>
        <w:t xml:space="preserve">avoiding the need for data forwarding from source to target UP entity. </w:t>
      </w:r>
    </w:p>
    <w:p w14:paraId="19C90DA6" w14:textId="06C35C73" w:rsidR="00EA5E48" w:rsidRDefault="00EA5E48" w:rsidP="00EA5E48">
      <w:pPr>
        <w:rPr>
          <w:lang w:val="en-US"/>
        </w:rPr>
      </w:pPr>
      <w:r>
        <w:rPr>
          <w:lang w:val="en-US"/>
        </w:rPr>
        <w:t xml:space="preserve">For example, with reference to Figure 1, the UE may perform a handover from the orange </w:t>
      </w:r>
      <w:proofErr w:type="spellStart"/>
      <w:r>
        <w:rPr>
          <w:lang w:val="en-US"/>
        </w:rPr>
        <w:t>gNB</w:t>
      </w:r>
      <w:proofErr w:type="spellEnd"/>
      <w:r>
        <w:rPr>
          <w:lang w:val="en-US"/>
        </w:rPr>
        <w:t xml:space="preserve"> to the grey </w:t>
      </w:r>
      <w:proofErr w:type="spellStart"/>
      <w:r>
        <w:rPr>
          <w:lang w:val="en-US"/>
        </w:rPr>
        <w:t>gNB</w:t>
      </w:r>
      <w:proofErr w:type="spellEnd"/>
      <w:r>
        <w:rPr>
          <w:lang w:val="en-US"/>
        </w:rPr>
        <w:t xml:space="preserve">, where the source CU-UP (orange CU-UP) and the target CU-UP (grey CU-UP) are within the same </w:t>
      </w:r>
      <w:r>
        <w:rPr>
          <w:lang w:val="en-US"/>
        </w:rPr>
        <w:lastRenderedPageBreak/>
        <w:t xml:space="preserve">physical central UP entity. The physical central UP does not necessarily need to change the DL UP termination of the NG interface and data forwarding can be sorted out internally at the physical central UP entity. </w:t>
      </w:r>
    </w:p>
    <w:p w14:paraId="0FBE6393" w14:textId="3B2F0EF9" w:rsidR="00EA5E48" w:rsidRDefault="00EA5E48" w:rsidP="00EA5E48">
      <w:pPr>
        <w:spacing w:after="60"/>
        <w:rPr>
          <w:lang w:val="en-US"/>
        </w:rPr>
      </w:pPr>
      <w:r>
        <w:rPr>
          <w:lang w:val="en-US"/>
        </w:rPr>
        <w:t xml:space="preserve">The impact on the specification translates in the need for introducing in the stage-3 specifications: (1) </w:t>
      </w:r>
      <w:r w:rsidR="0042104A">
        <w:rPr>
          <w:lang w:val="en-US"/>
        </w:rPr>
        <w:t xml:space="preserve">for X2AP and </w:t>
      </w:r>
      <w:proofErr w:type="spellStart"/>
      <w:r w:rsidR="0042104A">
        <w:rPr>
          <w:lang w:val="en-US"/>
        </w:rPr>
        <w:t>XnAP</w:t>
      </w:r>
      <w:proofErr w:type="spellEnd"/>
      <w:r w:rsidR="0042104A">
        <w:rPr>
          <w:lang w:val="en-US"/>
        </w:rPr>
        <w:t xml:space="preserve">, an indication to the target node about the possibility of keeping the RAN termination point; (2) for E1AP, an indication to the CU-UP about the possibility of keeping the RAN termination point; </w:t>
      </w:r>
      <w:r>
        <w:rPr>
          <w:lang w:val="en-US"/>
        </w:rPr>
        <w:t>for NGAP and S1AP, an indication that the tunnel endpoints at RAN have been kept</w:t>
      </w:r>
      <w:r w:rsidR="0042104A">
        <w:rPr>
          <w:lang w:val="en-US"/>
        </w:rPr>
        <w:t xml:space="preserve">. We also believe that it would be useful for better interoperability to describe this functionality in stage-2 specification.  </w:t>
      </w:r>
    </w:p>
    <w:p w14:paraId="64F68F66" w14:textId="75E550B5" w:rsidR="00B94D55" w:rsidRPr="00647085" w:rsidRDefault="001724FC" w:rsidP="001724FC">
      <w:pPr>
        <w:pStyle w:val="TOC1"/>
        <w:spacing w:after="120"/>
        <w:jc w:val="both"/>
        <w:rPr>
          <w:noProof w:val="0"/>
          <w:szCs w:val="20"/>
          <w:lang w:val="en-GB"/>
        </w:rPr>
      </w:pPr>
      <w:r w:rsidRPr="00647085">
        <w:rPr>
          <w:noProof w:val="0"/>
          <w:szCs w:val="20"/>
          <w:lang w:val="en-GB"/>
        </w:rPr>
        <w:t>Proposal 1:</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Pr="00647085">
        <w:rPr>
          <w:noProof w:val="0"/>
          <w:szCs w:val="20"/>
          <w:lang w:val="en-GB"/>
        </w:rPr>
        <w:t xml:space="preserve">RAN3 is kindly asked to agree with the </w:t>
      </w:r>
      <w:r w:rsidR="0042104A" w:rsidRPr="00647085">
        <w:rPr>
          <w:noProof w:val="0"/>
          <w:szCs w:val="20"/>
          <w:lang w:val="en-GB"/>
        </w:rPr>
        <w:t>CRs</w:t>
      </w:r>
      <w:r w:rsidR="00B94D55" w:rsidRPr="00647085">
        <w:rPr>
          <w:noProof w:val="0"/>
          <w:szCs w:val="20"/>
          <w:lang w:val="en-GB"/>
        </w:rPr>
        <w:t xml:space="preserve"> from</w:t>
      </w:r>
      <w:r w:rsidR="0042104A" w:rsidRPr="00647085">
        <w:rPr>
          <w:noProof w:val="0"/>
          <w:szCs w:val="20"/>
          <w:lang w:val="en-GB"/>
        </w:rPr>
        <w:t xml:space="preserve"> </w:t>
      </w:r>
      <w:r w:rsidR="000853B0">
        <w:rPr>
          <w:noProof w:val="0"/>
          <w:szCs w:val="20"/>
          <w:lang w:val="en-GB"/>
        </w:rPr>
        <w:t>R3-186776 to R3-186778</w:t>
      </w:r>
      <w:r w:rsidR="000853B0" w:rsidRPr="00647085">
        <w:rPr>
          <w:noProof w:val="0"/>
          <w:szCs w:val="20"/>
          <w:lang w:val="en-GB"/>
        </w:rPr>
        <w:t xml:space="preserve"> </w:t>
      </w:r>
      <w:r w:rsidR="000853B0">
        <w:rPr>
          <w:noProof w:val="0"/>
          <w:szCs w:val="20"/>
          <w:lang w:val="en-GB"/>
        </w:rPr>
        <w:t xml:space="preserve">and from </w:t>
      </w:r>
      <w:r w:rsidR="000853B0" w:rsidRPr="00647085">
        <w:rPr>
          <w:noProof w:val="0"/>
          <w:szCs w:val="20"/>
          <w:lang w:val="en-GB"/>
        </w:rPr>
        <w:t>R3-18</w:t>
      </w:r>
      <w:r w:rsidR="000853B0">
        <w:rPr>
          <w:noProof w:val="0"/>
          <w:szCs w:val="20"/>
          <w:lang w:val="en-GB"/>
        </w:rPr>
        <w:t>6847</w:t>
      </w:r>
      <w:r w:rsidR="000853B0" w:rsidRPr="00647085">
        <w:rPr>
          <w:noProof w:val="0"/>
          <w:szCs w:val="20"/>
          <w:lang w:val="en-GB"/>
        </w:rPr>
        <w:t xml:space="preserve"> to R3-18</w:t>
      </w:r>
      <w:r w:rsidR="000853B0">
        <w:rPr>
          <w:noProof w:val="0"/>
          <w:szCs w:val="20"/>
          <w:lang w:val="en-GB"/>
        </w:rPr>
        <w:t xml:space="preserve">6853 </w:t>
      </w:r>
      <w:r w:rsidR="00B94D55" w:rsidRPr="00647085">
        <w:rPr>
          <w:noProof w:val="0"/>
          <w:szCs w:val="20"/>
          <w:lang w:val="en-GB"/>
        </w:rPr>
        <w:t>introducing the stage-2 and stag</w:t>
      </w:r>
      <w:r w:rsidR="00DD466F">
        <w:rPr>
          <w:noProof w:val="0"/>
          <w:szCs w:val="20"/>
          <w:lang w:val="en-GB"/>
        </w:rPr>
        <w:t>e</w:t>
      </w:r>
      <w:r w:rsidR="00B94D55" w:rsidRPr="00647085">
        <w:rPr>
          <w:noProof w:val="0"/>
          <w:szCs w:val="20"/>
          <w:lang w:val="en-GB"/>
        </w:rPr>
        <w:t xml:space="preserve">-3 support for </w:t>
      </w:r>
      <w:r w:rsidR="00B94D55" w:rsidRPr="00647085">
        <w:rPr>
          <w:szCs w:val="20"/>
        </w:rPr>
        <w:t>keeping the DL UP termination point on the RAN-CN interface for handover and dual-connectivity.</w:t>
      </w:r>
    </w:p>
    <w:p w14:paraId="37C3BA56" w14:textId="7FCC8AD2" w:rsidR="001724FC" w:rsidRPr="009A7317" w:rsidRDefault="001724FC" w:rsidP="001724FC">
      <w:pPr>
        <w:pStyle w:val="TOC1"/>
        <w:spacing w:after="120"/>
        <w:jc w:val="both"/>
        <w:rPr>
          <w:noProof w:val="0"/>
          <w:lang w:val="en-GB"/>
        </w:rPr>
      </w:pPr>
      <w:r w:rsidRPr="009A7317">
        <w:rPr>
          <w:noProof w:val="0"/>
          <w:lang w:val="en-GB"/>
        </w:rPr>
        <w:t xml:space="preserve">    </w:t>
      </w:r>
    </w:p>
    <w:p w14:paraId="35DF7962" w14:textId="0C8F6C26" w:rsidR="00180E79" w:rsidRPr="00CE0424" w:rsidRDefault="00A5477C" w:rsidP="00180E79">
      <w:pPr>
        <w:pStyle w:val="Heading1"/>
      </w:pPr>
      <w:r>
        <w:t>Co</w:t>
      </w:r>
      <w:r w:rsidR="00180E79" w:rsidRPr="00CE0424">
        <w:t>nclusion</w:t>
      </w:r>
    </w:p>
    <w:p w14:paraId="2D5699C4" w14:textId="6455C27D" w:rsidR="00854CF8" w:rsidRDefault="00180E79" w:rsidP="001724FC">
      <w:pPr>
        <w:rPr>
          <w:lang w:eastAsia="ja-JP"/>
        </w:rPr>
      </w:pPr>
      <w:bookmarkStart w:id="0" w:name="_In-sequence_SDU_delivery"/>
      <w:bookmarkEnd w:id="0"/>
      <w:r>
        <w:t xml:space="preserve">In this contribution, </w:t>
      </w:r>
      <w:r w:rsidR="00854CF8">
        <w:t>we</w:t>
      </w:r>
      <w:r w:rsidR="001724FC">
        <w:rPr>
          <w:lang w:eastAsia="ja-JP"/>
        </w:rPr>
        <w:t xml:space="preserve"> </w:t>
      </w:r>
      <w:r w:rsidR="00B94D55">
        <w:rPr>
          <w:lang w:eastAsia="ja-JP"/>
        </w:rPr>
        <w:t>analysed</w:t>
      </w:r>
      <w:r w:rsidR="001724FC">
        <w:rPr>
          <w:lang w:eastAsia="ja-JP"/>
        </w:rPr>
        <w:t xml:space="preserve"> the concept of a shared central UP entity and made the following proposal.</w:t>
      </w:r>
    </w:p>
    <w:p w14:paraId="4FBF3D38" w14:textId="580FDB90" w:rsidR="00647085" w:rsidRPr="00647085" w:rsidRDefault="00647085" w:rsidP="00647085">
      <w:pPr>
        <w:pStyle w:val="TOC1"/>
        <w:spacing w:after="120"/>
        <w:jc w:val="both"/>
        <w:rPr>
          <w:noProof w:val="0"/>
          <w:szCs w:val="20"/>
          <w:lang w:val="en-GB"/>
        </w:rPr>
      </w:pPr>
      <w:r w:rsidRPr="00647085">
        <w:rPr>
          <w:noProof w:val="0"/>
          <w:szCs w:val="20"/>
          <w:lang w:val="en-GB"/>
        </w:rPr>
        <w:t>Proposal 1:</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Pr="00647085">
        <w:rPr>
          <w:noProof w:val="0"/>
          <w:szCs w:val="20"/>
          <w:lang w:val="en-GB"/>
        </w:rPr>
        <w:t xml:space="preserve">RAN3 is kindly asked to agree with the CRs from </w:t>
      </w:r>
      <w:r w:rsidR="000853B0">
        <w:rPr>
          <w:noProof w:val="0"/>
          <w:szCs w:val="20"/>
          <w:lang w:val="en-GB"/>
        </w:rPr>
        <w:t>R3-186776 to R3-186778</w:t>
      </w:r>
      <w:r w:rsidR="000853B0" w:rsidRPr="00647085">
        <w:rPr>
          <w:noProof w:val="0"/>
          <w:szCs w:val="20"/>
          <w:lang w:val="en-GB"/>
        </w:rPr>
        <w:t xml:space="preserve"> </w:t>
      </w:r>
      <w:r w:rsidR="000853B0">
        <w:rPr>
          <w:noProof w:val="0"/>
          <w:szCs w:val="20"/>
          <w:lang w:val="en-GB"/>
        </w:rPr>
        <w:t xml:space="preserve">and from </w:t>
      </w:r>
      <w:r w:rsidR="000853B0" w:rsidRPr="00647085">
        <w:rPr>
          <w:noProof w:val="0"/>
          <w:szCs w:val="20"/>
          <w:lang w:val="en-GB"/>
        </w:rPr>
        <w:t>R3-18</w:t>
      </w:r>
      <w:r w:rsidR="000853B0">
        <w:rPr>
          <w:noProof w:val="0"/>
          <w:szCs w:val="20"/>
          <w:lang w:val="en-GB"/>
        </w:rPr>
        <w:t>6847</w:t>
      </w:r>
      <w:r w:rsidR="000853B0" w:rsidRPr="00647085">
        <w:rPr>
          <w:noProof w:val="0"/>
          <w:szCs w:val="20"/>
          <w:lang w:val="en-GB"/>
        </w:rPr>
        <w:t xml:space="preserve"> to R3-18</w:t>
      </w:r>
      <w:r w:rsidR="000853B0">
        <w:rPr>
          <w:noProof w:val="0"/>
          <w:szCs w:val="20"/>
          <w:lang w:val="en-GB"/>
        </w:rPr>
        <w:t xml:space="preserve">6853 </w:t>
      </w:r>
      <w:bookmarkStart w:id="1" w:name="_GoBack"/>
      <w:bookmarkEnd w:id="1"/>
      <w:r w:rsidRPr="00647085">
        <w:rPr>
          <w:noProof w:val="0"/>
          <w:szCs w:val="20"/>
          <w:lang w:val="en-GB"/>
        </w:rPr>
        <w:t>introducing the stage-2 and stag</w:t>
      </w:r>
      <w:r w:rsidR="00DD466F">
        <w:rPr>
          <w:noProof w:val="0"/>
          <w:szCs w:val="20"/>
          <w:lang w:val="en-GB"/>
        </w:rPr>
        <w:t>e</w:t>
      </w:r>
      <w:r w:rsidRPr="00647085">
        <w:rPr>
          <w:noProof w:val="0"/>
          <w:szCs w:val="20"/>
          <w:lang w:val="en-GB"/>
        </w:rPr>
        <w:t xml:space="preserve">-3 support for </w:t>
      </w:r>
      <w:r w:rsidRPr="00647085">
        <w:rPr>
          <w:szCs w:val="20"/>
        </w:rPr>
        <w:t>keeping the DL UP termination point on the RAN-CN interface for handover and dual-connectivity.</w:t>
      </w:r>
    </w:p>
    <w:p w14:paraId="1BEECDB3" w14:textId="77777777" w:rsidR="00706E31" w:rsidRDefault="00706E31" w:rsidP="00586166">
      <w:pPr>
        <w:pStyle w:val="Heading3"/>
        <w:numPr>
          <w:ilvl w:val="0"/>
          <w:numId w:val="0"/>
        </w:numPr>
        <w:ind w:left="720"/>
      </w:pPr>
    </w:p>
    <w:sectPr w:rsidR="00706E31" w:rsidSect="000F16AB">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7EB70" w14:textId="77777777" w:rsidR="00754F3A" w:rsidRDefault="00754F3A">
      <w:r>
        <w:separator/>
      </w:r>
    </w:p>
  </w:endnote>
  <w:endnote w:type="continuationSeparator" w:id="0">
    <w:p w14:paraId="163AF7A1" w14:textId="77777777" w:rsidR="00754F3A" w:rsidRDefault="00754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8F02FB" w:rsidRDefault="008F02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804DF" w14:textId="77777777" w:rsidR="00754F3A" w:rsidRDefault="00754F3A">
      <w:r>
        <w:separator/>
      </w:r>
    </w:p>
  </w:footnote>
  <w:footnote w:type="continuationSeparator" w:id="0">
    <w:p w14:paraId="6DB3FCC1" w14:textId="77777777" w:rsidR="00754F3A" w:rsidRDefault="00754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F02FB" w:rsidRDefault="008F02F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7"/>
  </w:num>
  <w:num w:numId="10">
    <w:abstractNumId w:val="9"/>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12A2"/>
    <w:rsid w:val="00021D9F"/>
    <w:rsid w:val="00021FEB"/>
    <w:rsid w:val="000226EB"/>
    <w:rsid w:val="0002564D"/>
    <w:rsid w:val="00025CA5"/>
    <w:rsid w:val="00025ECA"/>
    <w:rsid w:val="00026A1F"/>
    <w:rsid w:val="00027939"/>
    <w:rsid w:val="0003154C"/>
    <w:rsid w:val="000325B8"/>
    <w:rsid w:val="0003369F"/>
    <w:rsid w:val="00034195"/>
    <w:rsid w:val="00034C15"/>
    <w:rsid w:val="00035648"/>
    <w:rsid w:val="00036BA1"/>
    <w:rsid w:val="00041145"/>
    <w:rsid w:val="000422E2"/>
    <w:rsid w:val="00042F22"/>
    <w:rsid w:val="0004367E"/>
    <w:rsid w:val="000444EF"/>
    <w:rsid w:val="000461C1"/>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3B0"/>
    <w:rsid w:val="000855EB"/>
    <w:rsid w:val="00085B52"/>
    <w:rsid w:val="00085C30"/>
    <w:rsid w:val="000866F2"/>
    <w:rsid w:val="00086BB7"/>
    <w:rsid w:val="0009009F"/>
    <w:rsid w:val="000902C7"/>
    <w:rsid w:val="00091557"/>
    <w:rsid w:val="000924C1"/>
    <w:rsid w:val="000924F0"/>
    <w:rsid w:val="0009305A"/>
    <w:rsid w:val="00093474"/>
    <w:rsid w:val="0009510F"/>
    <w:rsid w:val="000967EC"/>
    <w:rsid w:val="00097AAF"/>
    <w:rsid w:val="000A07F6"/>
    <w:rsid w:val="000A1B7B"/>
    <w:rsid w:val="000A2A30"/>
    <w:rsid w:val="000A56F2"/>
    <w:rsid w:val="000A6F38"/>
    <w:rsid w:val="000B1A38"/>
    <w:rsid w:val="000B252B"/>
    <w:rsid w:val="000B2719"/>
    <w:rsid w:val="000B316A"/>
    <w:rsid w:val="000B3A8F"/>
    <w:rsid w:val="000B4AB9"/>
    <w:rsid w:val="000B58C3"/>
    <w:rsid w:val="000B61E9"/>
    <w:rsid w:val="000B6CF7"/>
    <w:rsid w:val="000C07D6"/>
    <w:rsid w:val="000C165A"/>
    <w:rsid w:val="000C2E19"/>
    <w:rsid w:val="000C2ED8"/>
    <w:rsid w:val="000C483D"/>
    <w:rsid w:val="000C4C3B"/>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2781"/>
    <w:rsid w:val="00102D88"/>
    <w:rsid w:val="00104006"/>
    <w:rsid w:val="001051DE"/>
    <w:rsid w:val="00105AC3"/>
    <w:rsid w:val="001062FB"/>
    <w:rsid w:val="001063E6"/>
    <w:rsid w:val="00111AAC"/>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AF1"/>
    <w:rsid w:val="001551B5"/>
    <w:rsid w:val="00155C2B"/>
    <w:rsid w:val="00156808"/>
    <w:rsid w:val="00157C31"/>
    <w:rsid w:val="00160E23"/>
    <w:rsid w:val="001622BB"/>
    <w:rsid w:val="0016392B"/>
    <w:rsid w:val="001643A8"/>
    <w:rsid w:val="0016555B"/>
    <w:rsid w:val="001659C1"/>
    <w:rsid w:val="00167222"/>
    <w:rsid w:val="00170067"/>
    <w:rsid w:val="0017045C"/>
    <w:rsid w:val="001718EC"/>
    <w:rsid w:val="001724FC"/>
    <w:rsid w:val="001732EB"/>
    <w:rsid w:val="00173A8E"/>
    <w:rsid w:val="001741AA"/>
    <w:rsid w:val="001755D8"/>
    <w:rsid w:val="00177795"/>
    <w:rsid w:val="00180E79"/>
    <w:rsid w:val="0018143F"/>
    <w:rsid w:val="0018215E"/>
    <w:rsid w:val="00182FC8"/>
    <w:rsid w:val="00187672"/>
    <w:rsid w:val="0019042E"/>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B9"/>
    <w:rsid w:val="001A7BFD"/>
    <w:rsid w:val="001B0B5F"/>
    <w:rsid w:val="001B0D97"/>
    <w:rsid w:val="001B20C7"/>
    <w:rsid w:val="001B556C"/>
    <w:rsid w:val="001B5A5D"/>
    <w:rsid w:val="001B77D0"/>
    <w:rsid w:val="001C1CE5"/>
    <w:rsid w:val="001C2556"/>
    <w:rsid w:val="001C3D2A"/>
    <w:rsid w:val="001C4604"/>
    <w:rsid w:val="001C6495"/>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15A1"/>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88E"/>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C6114"/>
    <w:rsid w:val="002D054A"/>
    <w:rsid w:val="002D071A"/>
    <w:rsid w:val="002D1D87"/>
    <w:rsid w:val="002D1FA1"/>
    <w:rsid w:val="002D34B2"/>
    <w:rsid w:val="002D6C8C"/>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2E8"/>
    <w:rsid w:val="003203ED"/>
    <w:rsid w:val="00322C9F"/>
    <w:rsid w:val="00323F80"/>
    <w:rsid w:val="00324456"/>
    <w:rsid w:val="00324D23"/>
    <w:rsid w:val="003250A8"/>
    <w:rsid w:val="00330D48"/>
    <w:rsid w:val="003313A1"/>
    <w:rsid w:val="00331751"/>
    <w:rsid w:val="00331D5D"/>
    <w:rsid w:val="0033324A"/>
    <w:rsid w:val="00334579"/>
    <w:rsid w:val="00335858"/>
    <w:rsid w:val="00336BDA"/>
    <w:rsid w:val="003409B2"/>
    <w:rsid w:val="00342BD7"/>
    <w:rsid w:val="00343A07"/>
    <w:rsid w:val="00343E23"/>
    <w:rsid w:val="00345333"/>
    <w:rsid w:val="0034605B"/>
    <w:rsid w:val="00346DB5"/>
    <w:rsid w:val="003476F9"/>
    <w:rsid w:val="003477B1"/>
    <w:rsid w:val="003521FD"/>
    <w:rsid w:val="0035473E"/>
    <w:rsid w:val="0035482C"/>
    <w:rsid w:val="00354CAA"/>
    <w:rsid w:val="00355EA2"/>
    <w:rsid w:val="0035656F"/>
    <w:rsid w:val="00357380"/>
    <w:rsid w:val="00357D28"/>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1400"/>
    <w:rsid w:val="003A2223"/>
    <w:rsid w:val="003A2A0F"/>
    <w:rsid w:val="003A3A23"/>
    <w:rsid w:val="003A45A1"/>
    <w:rsid w:val="003A53A4"/>
    <w:rsid w:val="003A5B0A"/>
    <w:rsid w:val="003A6BAC"/>
    <w:rsid w:val="003A7EF3"/>
    <w:rsid w:val="003B0545"/>
    <w:rsid w:val="003B159C"/>
    <w:rsid w:val="003B185C"/>
    <w:rsid w:val="003B2105"/>
    <w:rsid w:val="003B26DF"/>
    <w:rsid w:val="003B359D"/>
    <w:rsid w:val="003B369F"/>
    <w:rsid w:val="003B36A3"/>
    <w:rsid w:val="003B7FE5"/>
    <w:rsid w:val="003C058C"/>
    <w:rsid w:val="003C0CDC"/>
    <w:rsid w:val="003C11C8"/>
    <w:rsid w:val="003C2702"/>
    <w:rsid w:val="003C2E1B"/>
    <w:rsid w:val="003C33CB"/>
    <w:rsid w:val="003C379E"/>
    <w:rsid w:val="003C3AC4"/>
    <w:rsid w:val="003C46B0"/>
    <w:rsid w:val="003C46DA"/>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3F72D1"/>
    <w:rsid w:val="004000E8"/>
    <w:rsid w:val="00402E2B"/>
    <w:rsid w:val="004031DE"/>
    <w:rsid w:val="0040512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76EB"/>
    <w:rsid w:val="0042104A"/>
    <w:rsid w:val="00421105"/>
    <w:rsid w:val="00422190"/>
    <w:rsid w:val="004238C9"/>
    <w:rsid w:val="004241FD"/>
    <w:rsid w:val="004242F4"/>
    <w:rsid w:val="00425BC6"/>
    <w:rsid w:val="00425E68"/>
    <w:rsid w:val="00427248"/>
    <w:rsid w:val="004278A8"/>
    <w:rsid w:val="004319E2"/>
    <w:rsid w:val="004320A9"/>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3745"/>
    <w:rsid w:val="00483AD0"/>
    <w:rsid w:val="0048407E"/>
    <w:rsid w:val="0048568A"/>
    <w:rsid w:val="00485C41"/>
    <w:rsid w:val="00485DBF"/>
    <w:rsid w:val="004860E6"/>
    <w:rsid w:val="00486318"/>
    <w:rsid w:val="0049026C"/>
    <w:rsid w:val="00492BC5"/>
    <w:rsid w:val="00492D58"/>
    <w:rsid w:val="00495A95"/>
    <w:rsid w:val="004964F1"/>
    <w:rsid w:val="004A1635"/>
    <w:rsid w:val="004A16BC"/>
    <w:rsid w:val="004A1C96"/>
    <w:rsid w:val="004A29D4"/>
    <w:rsid w:val="004A2A89"/>
    <w:rsid w:val="004A2B94"/>
    <w:rsid w:val="004A5547"/>
    <w:rsid w:val="004A5B91"/>
    <w:rsid w:val="004B1EB4"/>
    <w:rsid w:val="004B29D1"/>
    <w:rsid w:val="004B3291"/>
    <w:rsid w:val="004B556D"/>
    <w:rsid w:val="004B7C0C"/>
    <w:rsid w:val="004C2EA6"/>
    <w:rsid w:val="004C323A"/>
    <w:rsid w:val="004C37A1"/>
    <w:rsid w:val="004C3898"/>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C6C"/>
    <w:rsid w:val="004F729D"/>
    <w:rsid w:val="004F730C"/>
    <w:rsid w:val="005000AF"/>
    <w:rsid w:val="00500A19"/>
    <w:rsid w:val="00501540"/>
    <w:rsid w:val="00501D41"/>
    <w:rsid w:val="00502025"/>
    <w:rsid w:val="00502D73"/>
    <w:rsid w:val="00505C27"/>
    <w:rsid w:val="00505ECC"/>
    <w:rsid w:val="00506557"/>
    <w:rsid w:val="0050677A"/>
    <w:rsid w:val="005072CE"/>
    <w:rsid w:val="00507893"/>
    <w:rsid w:val="005108D8"/>
    <w:rsid w:val="005116F9"/>
    <w:rsid w:val="00512B04"/>
    <w:rsid w:val="00513FCF"/>
    <w:rsid w:val="005153A7"/>
    <w:rsid w:val="00515AE5"/>
    <w:rsid w:val="00516D60"/>
    <w:rsid w:val="00516FAD"/>
    <w:rsid w:val="00517442"/>
    <w:rsid w:val="00517503"/>
    <w:rsid w:val="005217E1"/>
    <w:rsid w:val="005219CF"/>
    <w:rsid w:val="00522C75"/>
    <w:rsid w:val="005243DB"/>
    <w:rsid w:val="00526E90"/>
    <w:rsid w:val="0052771A"/>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5145C"/>
    <w:rsid w:val="00554E19"/>
    <w:rsid w:val="00555E3A"/>
    <w:rsid w:val="005565C7"/>
    <w:rsid w:val="005574F9"/>
    <w:rsid w:val="0056121F"/>
    <w:rsid w:val="0056138C"/>
    <w:rsid w:val="005613C4"/>
    <w:rsid w:val="00563C8D"/>
    <w:rsid w:val="00565D18"/>
    <w:rsid w:val="00566E86"/>
    <w:rsid w:val="005702FB"/>
    <w:rsid w:val="00571171"/>
    <w:rsid w:val="005711B9"/>
    <w:rsid w:val="00571BFF"/>
    <w:rsid w:val="00572505"/>
    <w:rsid w:val="005730C2"/>
    <w:rsid w:val="00574D55"/>
    <w:rsid w:val="00577B3F"/>
    <w:rsid w:val="00580202"/>
    <w:rsid w:val="005802C2"/>
    <w:rsid w:val="00582809"/>
    <w:rsid w:val="00584E55"/>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662D"/>
    <w:rsid w:val="005A6C45"/>
    <w:rsid w:val="005A78CA"/>
    <w:rsid w:val="005B045C"/>
    <w:rsid w:val="005B240B"/>
    <w:rsid w:val="005B28BD"/>
    <w:rsid w:val="005B35D7"/>
    <w:rsid w:val="005B392A"/>
    <w:rsid w:val="005B3AA3"/>
    <w:rsid w:val="005B4A44"/>
    <w:rsid w:val="005B4EEA"/>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C83"/>
    <w:rsid w:val="006102C9"/>
    <w:rsid w:val="00611B83"/>
    <w:rsid w:val="00612656"/>
    <w:rsid w:val="00613257"/>
    <w:rsid w:val="006173DF"/>
    <w:rsid w:val="0062030C"/>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E14"/>
    <w:rsid w:val="0064624E"/>
    <w:rsid w:val="00647085"/>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C02"/>
    <w:rsid w:val="006634E6"/>
    <w:rsid w:val="006655EE"/>
    <w:rsid w:val="00665DAE"/>
    <w:rsid w:val="00665E48"/>
    <w:rsid w:val="00665F6A"/>
    <w:rsid w:val="00667EE7"/>
    <w:rsid w:val="00670922"/>
    <w:rsid w:val="00670BE1"/>
    <w:rsid w:val="0067218F"/>
    <w:rsid w:val="006723DA"/>
    <w:rsid w:val="006741F2"/>
    <w:rsid w:val="006747D9"/>
    <w:rsid w:val="00674CC3"/>
    <w:rsid w:val="00675C72"/>
    <w:rsid w:val="00675F19"/>
    <w:rsid w:val="006762BF"/>
    <w:rsid w:val="006764C3"/>
    <w:rsid w:val="00676ECC"/>
    <w:rsid w:val="006771F9"/>
    <w:rsid w:val="00677403"/>
    <w:rsid w:val="006776D7"/>
    <w:rsid w:val="006776EC"/>
    <w:rsid w:val="00681003"/>
    <w:rsid w:val="006817C9"/>
    <w:rsid w:val="006839B5"/>
    <w:rsid w:val="00683ECE"/>
    <w:rsid w:val="006848CD"/>
    <w:rsid w:val="006858A0"/>
    <w:rsid w:val="00686808"/>
    <w:rsid w:val="00686D9A"/>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891"/>
    <w:rsid w:val="006A5B1F"/>
    <w:rsid w:val="006A5E28"/>
    <w:rsid w:val="006A6659"/>
    <w:rsid w:val="006A697B"/>
    <w:rsid w:val="006A7AFF"/>
    <w:rsid w:val="006A7B05"/>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5EC9"/>
    <w:rsid w:val="006C6059"/>
    <w:rsid w:val="006C6927"/>
    <w:rsid w:val="006C7522"/>
    <w:rsid w:val="006D0D96"/>
    <w:rsid w:val="006D1F71"/>
    <w:rsid w:val="006D6F08"/>
    <w:rsid w:val="006E062C"/>
    <w:rsid w:val="006E0CC5"/>
    <w:rsid w:val="006E28B7"/>
    <w:rsid w:val="006E2E89"/>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CBF"/>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5DA"/>
    <w:rsid w:val="00722660"/>
    <w:rsid w:val="00722C07"/>
    <w:rsid w:val="00722CDD"/>
    <w:rsid w:val="00724463"/>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524B"/>
    <w:rsid w:val="00747C5C"/>
    <w:rsid w:val="00747D8B"/>
    <w:rsid w:val="007506AF"/>
    <w:rsid w:val="00751228"/>
    <w:rsid w:val="0075193B"/>
    <w:rsid w:val="007531DB"/>
    <w:rsid w:val="00754E0C"/>
    <w:rsid w:val="00754F3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2B7A"/>
    <w:rsid w:val="007730BD"/>
    <w:rsid w:val="00773C0A"/>
    <w:rsid w:val="007755F2"/>
    <w:rsid w:val="00776469"/>
    <w:rsid w:val="00776971"/>
    <w:rsid w:val="00776EAB"/>
    <w:rsid w:val="0077725D"/>
    <w:rsid w:val="00780BFD"/>
    <w:rsid w:val="0078177E"/>
    <w:rsid w:val="007820AF"/>
    <w:rsid w:val="0078304C"/>
    <w:rsid w:val="00783673"/>
    <w:rsid w:val="00785490"/>
    <w:rsid w:val="00790F2A"/>
    <w:rsid w:val="007925EA"/>
    <w:rsid w:val="00793CD8"/>
    <w:rsid w:val="0079532B"/>
    <w:rsid w:val="00795BA3"/>
    <w:rsid w:val="00795C92"/>
    <w:rsid w:val="00795CAC"/>
    <w:rsid w:val="00796231"/>
    <w:rsid w:val="00796845"/>
    <w:rsid w:val="007A0412"/>
    <w:rsid w:val="007A068F"/>
    <w:rsid w:val="007A1B4C"/>
    <w:rsid w:val="007A1CB3"/>
    <w:rsid w:val="007A306F"/>
    <w:rsid w:val="007A36B6"/>
    <w:rsid w:val="007A43A6"/>
    <w:rsid w:val="007A4BF1"/>
    <w:rsid w:val="007A529A"/>
    <w:rsid w:val="007A58A6"/>
    <w:rsid w:val="007A7BDD"/>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901"/>
    <w:rsid w:val="007D6C67"/>
    <w:rsid w:val="007D7526"/>
    <w:rsid w:val="007E0653"/>
    <w:rsid w:val="007E27CF"/>
    <w:rsid w:val="007E2F81"/>
    <w:rsid w:val="007E3662"/>
    <w:rsid w:val="007E4610"/>
    <w:rsid w:val="007E4715"/>
    <w:rsid w:val="007E4B22"/>
    <w:rsid w:val="007E505B"/>
    <w:rsid w:val="007E6373"/>
    <w:rsid w:val="007E7091"/>
    <w:rsid w:val="007F3C98"/>
    <w:rsid w:val="007F77D6"/>
    <w:rsid w:val="008015DF"/>
    <w:rsid w:val="008020FE"/>
    <w:rsid w:val="00802749"/>
    <w:rsid w:val="008039B5"/>
    <w:rsid w:val="00803FAE"/>
    <w:rsid w:val="00805C9C"/>
    <w:rsid w:val="0080605F"/>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539"/>
    <w:rsid w:val="00825C42"/>
    <w:rsid w:val="00825D25"/>
    <w:rsid w:val="00827D6F"/>
    <w:rsid w:val="008300C8"/>
    <w:rsid w:val="008304CD"/>
    <w:rsid w:val="0083220E"/>
    <w:rsid w:val="008335B1"/>
    <w:rsid w:val="00834972"/>
    <w:rsid w:val="00835DD6"/>
    <w:rsid w:val="008376AC"/>
    <w:rsid w:val="00841B0A"/>
    <w:rsid w:val="0084221B"/>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4CF8"/>
    <w:rsid w:val="00855C9F"/>
    <w:rsid w:val="00855FCE"/>
    <w:rsid w:val="00856498"/>
    <w:rsid w:val="00856911"/>
    <w:rsid w:val="00856C5F"/>
    <w:rsid w:val="00863D18"/>
    <w:rsid w:val="00865647"/>
    <w:rsid w:val="0086574E"/>
    <w:rsid w:val="00867163"/>
    <w:rsid w:val="008677FD"/>
    <w:rsid w:val="00867B56"/>
    <w:rsid w:val="00870077"/>
    <w:rsid w:val="008706D4"/>
    <w:rsid w:val="00870F8A"/>
    <w:rsid w:val="008719A4"/>
    <w:rsid w:val="00871D23"/>
    <w:rsid w:val="00872522"/>
    <w:rsid w:val="00872782"/>
    <w:rsid w:val="00874312"/>
    <w:rsid w:val="0087437C"/>
    <w:rsid w:val="00875CD7"/>
    <w:rsid w:val="0087608E"/>
    <w:rsid w:val="00876B4D"/>
    <w:rsid w:val="00876D5E"/>
    <w:rsid w:val="008771C7"/>
    <w:rsid w:val="00877F18"/>
    <w:rsid w:val="0088042D"/>
    <w:rsid w:val="008806B5"/>
    <w:rsid w:val="00880BBE"/>
    <w:rsid w:val="00881496"/>
    <w:rsid w:val="008831AD"/>
    <w:rsid w:val="00883680"/>
    <w:rsid w:val="008850EF"/>
    <w:rsid w:val="00885820"/>
    <w:rsid w:val="0088638F"/>
    <w:rsid w:val="00890293"/>
    <w:rsid w:val="00891466"/>
    <w:rsid w:val="00894A88"/>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785"/>
    <w:rsid w:val="00994DCA"/>
    <w:rsid w:val="00994FA8"/>
    <w:rsid w:val="009960EC"/>
    <w:rsid w:val="0099612A"/>
    <w:rsid w:val="009970DD"/>
    <w:rsid w:val="00997A37"/>
    <w:rsid w:val="009A0FBA"/>
    <w:rsid w:val="009A1601"/>
    <w:rsid w:val="009A1FBB"/>
    <w:rsid w:val="009A215F"/>
    <w:rsid w:val="009A462D"/>
    <w:rsid w:val="009A5CBA"/>
    <w:rsid w:val="009A7F84"/>
    <w:rsid w:val="009B04DF"/>
    <w:rsid w:val="009B196C"/>
    <w:rsid w:val="009B1F30"/>
    <w:rsid w:val="009B327D"/>
    <w:rsid w:val="009B3AC2"/>
    <w:rsid w:val="009B4DF4"/>
    <w:rsid w:val="009B4E12"/>
    <w:rsid w:val="009B564E"/>
    <w:rsid w:val="009B5D3F"/>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64A9"/>
    <w:rsid w:val="00A2677D"/>
    <w:rsid w:val="00A26B42"/>
    <w:rsid w:val="00A26D81"/>
    <w:rsid w:val="00A27785"/>
    <w:rsid w:val="00A30187"/>
    <w:rsid w:val="00A3448A"/>
    <w:rsid w:val="00A34EB7"/>
    <w:rsid w:val="00A36185"/>
    <w:rsid w:val="00A36297"/>
    <w:rsid w:val="00A37111"/>
    <w:rsid w:val="00A40104"/>
    <w:rsid w:val="00A40236"/>
    <w:rsid w:val="00A4107B"/>
    <w:rsid w:val="00A4133C"/>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A016F"/>
    <w:rsid w:val="00AA0C30"/>
    <w:rsid w:val="00AA1ED6"/>
    <w:rsid w:val="00AA21EC"/>
    <w:rsid w:val="00AA23D1"/>
    <w:rsid w:val="00AA260C"/>
    <w:rsid w:val="00AA4279"/>
    <w:rsid w:val="00AA4469"/>
    <w:rsid w:val="00AA51D6"/>
    <w:rsid w:val="00AA63BA"/>
    <w:rsid w:val="00AA6A03"/>
    <w:rsid w:val="00AB017F"/>
    <w:rsid w:val="00AB0269"/>
    <w:rsid w:val="00AB0BC8"/>
    <w:rsid w:val="00AB10DA"/>
    <w:rsid w:val="00AB11CA"/>
    <w:rsid w:val="00AB14D9"/>
    <w:rsid w:val="00AB1841"/>
    <w:rsid w:val="00AB3C41"/>
    <w:rsid w:val="00AB4AB8"/>
    <w:rsid w:val="00AB4DAA"/>
    <w:rsid w:val="00AB4E95"/>
    <w:rsid w:val="00AB54D8"/>
    <w:rsid w:val="00AB655E"/>
    <w:rsid w:val="00AC007F"/>
    <w:rsid w:val="00AC2ECD"/>
    <w:rsid w:val="00AC3119"/>
    <w:rsid w:val="00AC33AD"/>
    <w:rsid w:val="00AC49FB"/>
    <w:rsid w:val="00AC4FAD"/>
    <w:rsid w:val="00AC5A10"/>
    <w:rsid w:val="00AC7A2F"/>
    <w:rsid w:val="00AD0182"/>
    <w:rsid w:val="00AD0AA3"/>
    <w:rsid w:val="00AD1952"/>
    <w:rsid w:val="00AD3F94"/>
    <w:rsid w:val="00AD4A5A"/>
    <w:rsid w:val="00AD5DC2"/>
    <w:rsid w:val="00AD6192"/>
    <w:rsid w:val="00AD67FE"/>
    <w:rsid w:val="00AE27A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1B96"/>
    <w:rsid w:val="00B01DC9"/>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17B03"/>
    <w:rsid w:val="00B20256"/>
    <w:rsid w:val="00B20D09"/>
    <w:rsid w:val="00B21786"/>
    <w:rsid w:val="00B22C9D"/>
    <w:rsid w:val="00B23437"/>
    <w:rsid w:val="00B2763F"/>
    <w:rsid w:val="00B27AAC"/>
    <w:rsid w:val="00B30929"/>
    <w:rsid w:val="00B32BCE"/>
    <w:rsid w:val="00B32EAE"/>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FAD"/>
    <w:rsid w:val="00B56079"/>
    <w:rsid w:val="00B56296"/>
    <w:rsid w:val="00B5681C"/>
    <w:rsid w:val="00B6033E"/>
    <w:rsid w:val="00B60D56"/>
    <w:rsid w:val="00B617E6"/>
    <w:rsid w:val="00B6180A"/>
    <w:rsid w:val="00B61FC9"/>
    <w:rsid w:val="00B626FC"/>
    <w:rsid w:val="00B62AAA"/>
    <w:rsid w:val="00B62DC3"/>
    <w:rsid w:val="00B6374A"/>
    <w:rsid w:val="00B6428A"/>
    <w:rsid w:val="00B664C7"/>
    <w:rsid w:val="00B71B58"/>
    <w:rsid w:val="00B730B2"/>
    <w:rsid w:val="00B739F6"/>
    <w:rsid w:val="00B742A9"/>
    <w:rsid w:val="00B76915"/>
    <w:rsid w:val="00B76DD7"/>
    <w:rsid w:val="00B8117B"/>
    <w:rsid w:val="00B8126C"/>
    <w:rsid w:val="00B81A6C"/>
    <w:rsid w:val="00B81D70"/>
    <w:rsid w:val="00B843AE"/>
    <w:rsid w:val="00B85DE5"/>
    <w:rsid w:val="00B85FAE"/>
    <w:rsid w:val="00B90E65"/>
    <w:rsid w:val="00B90F73"/>
    <w:rsid w:val="00B919F9"/>
    <w:rsid w:val="00B92917"/>
    <w:rsid w:val="00B93B59"/>
    <w:rsid w:val="00B9406A"/>
    <w:rsid w:val="00B94A2F"/>
    <w:rsid w:val="00B94D55"/>
    <w:rsid w:val="00B95078"/>
    <w:rsid w:val="00B9550A"/>
    <w:rsid w:val="00B96258"/>
    <w:rsid w:val="00BA2280"/>
    <w:rsid w:val="00BA2A08"/>
    <w:rsid w:val="00BA56D2"/>
    <w:rsid w:val="00BA64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4C7"/>
    <w:rsid w:val="00C00766"/>
    <w:rsid w:val="00C015F1"/>
    <w:rsid w:val="00C01BD7"/>
    <w:rsid w:val="00C01F33"/>
    <w:rsid w:val="00C02CC6"/>
    <w:rsid w:val="00C02FF0"/>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719D"/>
    <w:rsid w:val="00C3784A"/>
    <w:rsid w:val="00C37CC3"/>
    <w:rsid w:val="00C4067E"/>
    <w:rsid w:val="00C41F6C"/>
    <w:rsid w:val="00C42BAB"/>
    <w:rsid w:val="00C45952"/>
    <w:rsid w:val="00C46A82"/>
    <w:rsid w:val="00C4742E"/>
    <w:rsid w:val="00C50794"/>
    <w:rsid w:val="00C51FCF"/>
    <w:rsid w:val="00C52115"/>
    <w:rsid w:val="00C53545"/>
    <w:rsid w:val="00C54995"/>
    <w:rsid w:val="00C54D41"/>
    <w:rsid w:val="00C555C6"/>
    <w:rsid w:val="00C55921"/>
    <w:rsid w:val="00C55F6F"/>
    <w:rsid w:val="00C561AF"/>
    <w:rsid w:val="00C57605"/>
    <w:rsid w:val="00C6006D"/>
    <w:rsid w:val="00C60783"/>
    <w:rsid w:val="00C63695"/>
    <w:rsid w:val="00C639CB"/>
    <w:rsid w:val="00C64672"/>
    <w:rsid w:val="00C64E8D"/>
    <w:rsid w:val="00C70697"/>
    <w:rsid w:val="00C72AB5"/>
    <w:rsid w:val="00C72EF4"/>
    <w:rsid w:val="00C732D9"/>
    <w:rsid w:val="00C743F0"/>
    <w:rsid w:val="00C75D2F"/>
    <w:rsid w:val="00C767BE"/>
    <w:rsid w:val="00C76963"/>
    <w:rsid w:val="00C76E3C"/>
    <w:rsid w:val="00C77B92"/>
    <w:rsid w:val="00C81568"/>
    <w:rsid w:val="00C86B9F"/>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31A3"/>
    <w:rsid w:val="00CA37B7"/>
    <w:rsid w:val="00CA3D41"/>
    <w:rsid w:val="00CB0346"/>
    <w:rsid w:val="00CB1678"/>
    <w:rsid w:val="00CB1F63"/>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8C1"/>
    <w:rsid w:val="00D10249"/>
    <w:rsid w:val="00D10409"/>
    <w:rsid w:val="00D10F00"/>
    <w:rsid w:val="00D115C3"/>
    <w:rsid w:val="00D11897"/>
    <w:rsid w:val="00D13135"/>
    <w:rsid w:val="00D1344F"/>
    <w:rsid w:val="00D13E4E"/>
    <w:rsid w:val="00D153AA"/>
    <w:rsid w:val="00D168DD"/>
    <w:rsid w:val="00D17248"/>
    <w:rsid w:val="00D2264C"/>
    <w:rsid w:val="00D239A7"/>
    <w:rsid w:val="00D23F47"/>
    <w:rsid w:val="00D267ED"/>
    <w:rsid w:val="00D26C4E"/>
    <w:rsid w:val="00D3005B"/>
    <w:rsid w:val="00D31E35"/>
    <w:rsid w:val="00D325EA"/>
    <w:rsid w:val="00D36E71"/>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4EF7"/>
    <w:rsid w:val="00D652B5"/>
    <w:rsid w:val="00D66155"/>
    <w:rsid w:val="00D708B0"/>
    <w:rsid w:val="00D70E73"/>
    <w:rsid w:val="00D7135D"/>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887"/>
    <w:rsid w:val="00DC25CF"/>
    <w:rsid w:val="00DC2D36"/>
    <w:rsid w:val="00DC4F17"/>
    <w:rsid w:val="00DC504E"/>
    <w:rsid w:val="00DC53EF"/>
    <w:rsid w:val="00DD0394"/>
    <w:rsid w:val="00DD2697"/>
    <w:rsid w:val="00DD466F"/>
    <w:rsid w:val="00DD729E"/>
    <w:rsid w:val="00DD740E"/>
    <w:rsid w:val="00DE2D93"/>
    <w:rsid w:val="00DE4E2C"/>
    <w:rsid w:val="00DE5608"/>
    <w:rsid w:val="00DE58D0"/>
    <w:rsid w:val="00DE654F"/>
    <w:rsid w:val="00DF02B2"/>
    <w:rsid w:val="00DF0B6E"/>
    <w:rsid w:val="00DF15E0"/>
    <w:rsid w:val="00DF1C34"/>
    <w:rsid w:val="00DF20D4"/>
    <w:rsid w:val="00DF306A"/>
    <w:rsid w:val="00DF37A0"/>
    <w:rsid w:val="00DF4C2E"/>
    <w:rsid w:val="00DF5C56"/>
    <w:rsid w:val="00DF794F"/>
    <w:rsid w:val="00E002D7"/>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135"/>
    <w:rsid w:val="00E41AA0"/>
    <w:rsid w:val="00E4258F"/>
    <w:rsid w:val="00E446F1"/>
    <w:rsid w:val="00E46091"/>
    <w:rsid w:val="00E46886"/>
    <w:rsid w:val="00E47AEF"/>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8B1"/>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4EA2"/>
    <w:rsid w:val="00EB6346"/>
    <w:rsid w:val="00EB7060"/>
    <w:rsid w:val="00EB7AC8"/>
    <w:rsid w:val="00EC1933"/>
    <w:rsid w:val="00EC20B3"/>
    <w:rsid w:val="00EC25F7"/>
    <w:rsid w:val="00EC27C6"/>
    <w:rsid w:val="00EC4206"/>
    <w:rsid w:val="00EC4207"/>
    <w:rsid w:val="00EC4366"/>
    <w:rsid w:val="00EC5653"/>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1F5F"/>
    <w:rsid w:val="00EF1FBF"/>
    <w:rsid w:val="00EF4407"/>
    <w:rsid w:val="00EF4DCB"/>
    <w:rsid w:val="00EF5787"/>
    <w:rsid w:val="00EF60D0"/>
    <w:rsid w:val="00EF682C"/>
    <w:rsid w:val="00EF6CFB"/>
    <w:rsid w:val="00F021D1"/>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209B7"/>
    <w:rsid w:val="00F228B6"/>
    <w:rsid w:val="00F23500"/>
    <w:rsid w:val="00F2376F"/>
    <w:rsid w:val="00F243D8"/>
    <w:rsid w:val="00F254B4"/>
    <w:rsid w:val="00F27528"/>
    <w:rsid w:val="00F27A64"/>
    <w:rsid w:val="00F3019C"/>
    <w:rsid w:val="00F301AC"/>
    <w:rsid w:val="00F30828"/>
    <w:rsid w:val="00F312EF"/>
    <w:rsid w:val="00F313D6"/>
    <w:rsid w:val="00F316AA"/>
    <w:rsid w:val="00F3385B"/>
    <w:rsid w:val="00F33F93"/>
    <w:rsid w:val="00F34438"/>
    <w:rsid w:val="00F400AF"/>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DEA"/>
    <w:rsid w:val="00F62254"/>
    <w:rsid w:val="00F6302A"/>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584"/>
    <w:rsid w:val="00F96966"/>
    <w:rsid w:val="00F96985"/>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C0873"/>
    <w:rsid w:val="00FC129A"/>
    <w:rsid w:val="00FC3403"/>
    <w:rsid w:val="00FC4AD0"/>
    <w:rsid w:val="00FC7313"/>
    <w:rsid w:val="00FC7429"/>
    <w:rsid w:val="00FD07F6"/>
    <w:rsid w:val="00FD1EC8"/>
    <w:rsid w:val="00FD3FB3"/>
    <w:rsid w:val="00FD47ED"/>
    <w:rsid w:val="00FD4E70"/>
    <w:rsid w:val="00FD74DB"/>
    <w:rsid w:val="00FD7660"/>
    <w:rsid w:val="00FE0655"/>
    <w:rsid w:val="00FE149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18F6477A-F772-4A86-9F8D-D11554D6B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TotalTime>
  <Pages>2</Pages>
  <Words>494</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4</cp:revision>
  <cp:lastPrinted>2008-01-31T06:09:00Z</cp:lastPrinted>
  <dcterms:created xsi:type="dcterms:W3CDTF">2018-11-02T22:21:00Z</dcterms:created>
  <dcterms:modified xsi:type="dcterms:W3CDTF">2018-11-02T22:47:00Z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